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40" w:rsidRPr="00ED1AAE" w:rsidRDefault="001C77C2" w:rsidP="0077624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776240" w:rsidRPr="00ED1AAE">
        <w:rPr>
          <w:rFonts w:ascii="Times New Roman" w:hAnsi="Times New Roman"/>
          <w:b/>
          <w:sz w:val="24"/>
          <w:szCs w:val="24"/>
        </w:rPr>
        <w:t>риложение</w:t>
      </w:r>
      <w:r w:rsidR="00776240" w:rsidRPr="00ED1AAE">
        <w:rPr>
          <w:rFonts w:ascii="Times New Roman" w:hAnsi="Times New Roman"/>
          <w:sz w:val="24"/>
          <w:szCs w:val="24"/>
        </w:rPr>
        <w:t xml:space="preserve"> </w:t>
      </w:r>
      <w:r w:rsidR="00776240" w:rsidRPr="00ED1AAE">
        <w:rPr>
          <w:rFonts w:ascii="Times New Roman" w:hAnsi="Times New Roman"/>
          <w:b/>
          <w:sz w:val="24"/>
          <w:szCs w:val="24"/>
        </w:rPr>
        <w:t>№2</w:t>
      </w:r>
    </w:p>
    <w:p w:rsidR="00776240" w:rsidRPr="00ED1AAE" w:rsidRDefault="00776240" w:rsidP="007762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240" w:rsidRPr="00ED1AAE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AE"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</w:t>
      </w:r>
    </w:p>
    <w:p w:rsidR="00776240" w:rsidRPr="00ED1AAE" w:rsidRDefault="00776240" w:rsidP="007762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D1AAE">
        <w:rPr>
          <w:rFonts w:ascii="Times New Roman" w:hAnsi="Times New Roman" w:cs="Times New Roman"/>
          <w:bCs/>
          <w:spacing w:val="-1"/>
          <w:sz w:val="24"/>
          <w:szCs w:val="24"/>
        </w:rPr>
        <w:t>К публикации принимаются тезисы докладов объемом до 0,2</w:t>
      </w:r>
      <w:r w:rsidRPr="00ED1AAE">
        <w:rPr>
          <w:rFonts w:ascii="Times New Roman" w:hAnsi="Times New Roman" w:cs="Times New Roman"/>
          <w:spacing w:val="-1"/>
          <w:sz w:val="24"/>
          <w:szCs w:val="24"/>
        </w:rPr>
        <w:t xml:space="preserve"> п.л. (8000 знаков с пробелами), включая литературу. Текст: </w:t>
      </w:r>
      <w:r w:rsidRPr="00ED1AAE">
        <w:rPr>
          <w:rFonts w:ascii="Times New Roman" w:hAnsi="Times New Roman" w:cs="Times New Roman"/>
          <w:sz w:val="24"/>
          <w:szCs w:val="24"/>
        </w:rPr>
        <w:t xml:space="preserve">формат </w:t>
      </w:r>
      <w:r w:rsidRPr="00ED1AA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Pr="00ED1AA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ED1AAE">
        <w:rPr>
          <w:rFonts w:ascii="Times New Roman" w:hAnsi="Times New Roman" w:cs="Times New Roman"/>
          <w:sz w:val="24"/>
          <w:szCs w:val="24"/>
        </w:rPr>
        <w:t xml:space="preserve">, шрифт </w:t>
      </w:r>
      <w:r w:rsidRPr="00ED1AAE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Pr="00ED1AAE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ED1AAE">
        <w:rPr>
          <w:rFonts w:ascii="Times New Roman" w:hAnsi="Times New Roman" w:cs="Times New Roman"/>
          <w:sz w:val="24"/>
          <w:szCs w:val="24"/>
        </w:rPr>
        <w:t xml:space="preserve"> </w:t>
      </w:r>
      <w:r w:rsidRPr="00ED1AAE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ED1AAE">
        <w:rPr>
          <w:rFonts w:ascii="Times New Roman" w:hAnsi="Times New Roman" w:cs="Times New Roman"/>
          <w:sz w:val="24"/>
          <w:szCs w:val="24"/>
        </w:rPr>
        <w:t xml:space="preserve">, кегль 12, интервал полуторный, выравнивание по ширине, все поля по 2 см, абзацный отступ 1,25, без переносов, без нумерации страниц. Ссылки на литературу и источники приводятся в квадратных скобках [5, с. 72]. </w:t>
      </w:r>
    </w:p>
    <w:p w:rsidR="00776240" w:rsidRPr="00ED1AAE" w:rsidRDefault="00776240" w:rsidP="0077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AE">
        <w:rPr>
          <w:rFonts w:ascii="Times New Roman" w:hAnsi="Times New Roman" w:cs="Times New Roman"/>
          <w:bCs/>
          <w:sz w:val="24"/>
          <w:szCs w:val="24"/>
        </w:rPr>
        <w:t>Неопубликованные источники: документы, архивные материалы, рукописи – нужно указывать постраничными сносками внизу страницы</w:t>
      </w:r>
      <w:r w:rsidRPr="00ED1AAE">
        <w:rPr>
          <w:rFonts w:ascii="Times New Roman" w:hAnsi="Times New Roman" w:cs="Times New Roman"/>
          <w:sz w:val="24"/>
          <w:szCs w:val="24"/>
        </w:rPr>
        <w:t xml:space="preserve"> арабскими цифрами, кегль 12</w:t>
      </w:r>
      <w:r w:rsidRPr="00ED1AAE">
        <w:rPr>
          <w:rFonts w:ascii="Times New Roman" w:hAnsi="Times New Roman" w:cs="Times New Roman"/>
          <w:bCs/>
          <w:sz w:val="24"/>
          <w:szCs w:val="24"/>
        </w:rPr>
        <w:t>: </w:t>
      </w:r>
      <w:r w:rsidRPr="00ED1AAE">
        <w:rPr>
          <w:rFonts w:ascii="Times New Roman" w:hAnsi="Times New Roman" w:cs="Times New Roman"/>
          <w:bCs/>
          <w:szCs w:val="24"/>
        </w:rPr>
        <w:t>Архив Якутского научного центра СО РАН</w:t>
      </w:r>
      <w:r w:rsidRPr="00ED1AAE">
        <w:rPr>
          <w:rFonts w:ascii="Times New Roman" w:hAnsi="Times New Roman" w:cs="Times New Roman"/>
          <w:bCs/>
          <w:sz w:val="24"/>
          <w:szCs w:val="24"/>
        </w:rPr>
        <w:t xml:space="preserve"> (АЯНЦ СО РАН). Ф. 3. Оп. 7. Д. 22. Л. 1–2об. При повторном упоминании архива приводится его сокращенное название: </w:t>
      </w:r>
      <w:r w:rsidRPr="00ED1AAE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ED1AAE">
        <w:rPr>
          <w:rFonts w:ascii="Times New Roman" w:hAnsi="Times New Roman" w:cs="Times New Roman"/>
          <w:bCs/>
          <w:sz w:val="24"/>
          <w:szCs w:val="24"/>
        </w:rPr>
        <w:t>АЯНЦ СО РАН. Ф. 3. Оп. 8. Д. 145. Л. 3–4.</w:t>
      </w:r>
    </w:p>
    <w:p w:rsidR="00776240" w:rsidRPr="00ED1AAE" w:rsidRDefault="00776240" w:rsidP="0077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AE">
        <w:rPr>
          <w:rFonts w:ascii="Times New Roman" w:hAnsi="Times New Roman" w:cs="Times New Roman"/>
          <w:sz w:val="24"/>
          <w:szCs w:val="24"/>
        </w:rPr>
        <w:t>На первой странице справа вверху прописными буквами – инициалы, фамилия, город. Заглавие дается строчными буквами полужирным начертанием, выравнивание по центру. Ключевые слова (не более 10) приводятся через запятую, строчными буквами, выравнивание по ширине. Литература приводится в алфавитном порядке (см. образец).</w:t>
      </w:r>
    </w:p>
    <w:p w:rsidR="00776240" w:rsidRPr="00ED1AAE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AE">
        <w:rPr>
          <w:rFonts w:ascii="Times New Roman" w:hAnsi="Times New Roman" w:cs="Times New Roman"/>
          <w:b/>
          <w:sz w:val="24"/>
          <w:szCs w:val="24"/>
        </w:rPr>
        <w:t>Дополнительно в конце тезисов необходимо указать</w:t>
      </w:r>
    </w:p>
    <w:p w:rsidR="00776240" w:rsidRPr="00ED1AAE" w:rsidRDefault="00776240" w:rsidP="0077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AE">
        <w:rPr>
          <w:rFonts w:ascii="Times New Roman" w:hAnsi="Times New Roman" w:cs="Times New Roman"/>
          <w:sz w:val="24"/>
          <w:szCs w:val="24"/>
        </w:rPr>
        <w:t>ФИО авторов полностью, ученая степень, ученое звание, должность или ступень обучения, полное название (в именительном падеже) места работы без сокращений, даже если они общепринятые, контактные данные автора / авторов: почтовый а</w:t>
      </w:r>
      <w:bookmarkStart w:id="0" w:name="_GoBack"/>
      <w:bookmarkEnd w:id="0"/>
      <w:r w:rsidRPr="00ED1AAE">
        <w:rPr>
          <w:rFonts w:ascii="Times New Roman" w:hAnsi="Times New Roman" w:cs="Times New Roman"/>
          <w:sz w:val="24"/>
          <w:szCs w:val="24"/>
        </w:rPr>
        <w:t>дрес, e-</w:t>
      </w:r>
      <w:proofErr w:type="spellStart"/>
      <w:r w:rsidRPr="00ED1A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D1AAE">
        <w:rPr>
          <w:rFonts w:ascii="Times New Roman" w:hAnsi="Times New Roman" w:cs="Times New Roman"/>
          <w:sz w:val="24"/>
          <w:szCs w:val="24"/>
        </w:rPr>
        <w:t>, рабочий и личный телефоны с кодами города и мобильного оператора (являются конфиденциальной информацией и не обнародуются). Сведения приводятся о каждом авторе.</w:t>
      </w:r>
    </w:p>
    <w:p w:rsidR="00776240" w:rsidRPr="00ED1AAE" w:rsidRDefault="00776240" w:rsidP="0077624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1AAE">
        <w:rPr>
          <w:rFonts w:ascii="Times New Roman" w:hAnsi="Times New Roman" w:cs="Times New Roman"/>
          <w:b/>
          <w:sz w:val="24"/>
          <w:szCs w:val="24"/>
        </w:rPr>
        <w:t>Образец оформления тезисов</w:t>
      </w:r>
    </w:p>
    <w:p w:rsidR="00776240" w:rsidRPr="00ED1AAE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40" w:rsidRPr="00ED1AAE" w:rsidRDefault="00776240" w:rsidP="00776240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D1AAE">
        <w:rPr>
          <w:rFonts w:ascii="Times New Roman" w:hAnsi="Times New Roman" w:cs="Times New Roman"/>
          <w:sz w:val="24"/>
          <w:szCs w:val="24"/>
          <w:lang w:eastAsia="ru-RU"/>
        </w:rPr>
        <w:t>В.В. ИЛЛАРИОНОВ (ЯКУТСК)</w:t>
      </w:r>
    </w:p>
    <w:p w:rsidR="00776240" w:rsidRPr="00ED1AAE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76240" w:rsidRPr="00ED1AAE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1AA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Вклад Н.В. Емельянова в изучение якутского героического эпоса</w:t>
      </w:r>
      <w:r w:rsidRPr="00ED1A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6240" w:rsidRPr="00ED1AAE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6240" w:rsidRPr="00ED1AAE" w:rsidRDefault="00776240" w:rsidP="0077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A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Ключевые слова: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эпосоведение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>, сюжет, Н. В. Емельянов</w:t>
      </w:r>
    </w:p>
    <w:p w:rsidR="00776240" w:rsidRPr="00ED1AAE" w:rsidRDefault="00776240" w:rsidP="0077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6240" w:rsidRPr="00ED1AAE" w:rsidRDefault="00776240" w:rsidP="0077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Текст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текст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6240" w:rsidRPr="00ED1AAE" w:rsidRDefault="00776240" w:rsidP="007762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76240" w:rsidRPr="00ED1AAE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240" w:rsidRPr="00ED1AAE" w:rsidRDefault="00776240" w:rsidP="00776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A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76240" w:rsidRPr="00ED1AAE" w:rsidRDefault="00776240" w:rsidP="0077624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Березкин Ю.Е.,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Дувакин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Е.Н. Тематическая классификация и распределение фольклорно-мифологических мотивов по ареалам. Аналитический каталог//Фольклор и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постфольклор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>: структура, типология, семиотика. http://www.ruthenia.ru/folklore/berezkin(дата обращения: 20.12.2020)</w:t>
      </w:r>
    </w:p>
    <w:p w:rsidR="00776240" w:rsidRPr="00ED1AAE" w:rsidRDefault="00776240" w:rsidP="0077624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Илларионов В. В. Н. С. Горохов: первые записи олонхо и их перевод на русский язык (к изучению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верхоянской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эпической традиции)//Северо-Восточный гуманитарный вестник. 2014. № 1 (8). С. 93-98.</w:t>
      </w:r>
    </w:p>
    <w:p w:rsidR="00776240" w:rsidRPr="00ED1AAE" w:rsidRDefault="00776240" w:rsidP="0077624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Кузьмина Е.Н. Героический эпос народов Сибири: Аспекты двуязычной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эдиции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и текстологии//Устойчивое развитие Арктики и северных регионов Российской Федерации в контексте образования, науки и культуры: Тезисы докладов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. форума/Отв. ред. В.Н. Иванов Якутск: ИГИ АН РС (Я), 2006. С. 24-25. </w:t>
      </w:r>
    </w:p>
    <w:p w:rsidR="00776240" w:rsidRPr="00ED1AAE" w:rsidRDefault="00776240" w:rsidP="0077624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1AAE">
        <w:rPr>
          <w:rFonts w:ascii="Times New Roman" w:hAnsi="Times New Roman" w:cs="Times New Roman"/>
          <w:sz w:val="24"/>
          <w:szCs w:val="24"/>
          <w:lang w:eastAsia="ru-RU"/>
        </w:rPr>
        <w:t>Емельянов Н.В.</w:t>
      </w:r>
      <w:r w:rsidRPr="00ED1AAE">
        <w:rPr>
          <w:lang w:eastAsia="ru-RU"/>
        </w:rPr>
        <w:t> </w:t>
      </w:r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Сюжеты олонхо о защитниках племени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айыы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>. Новосибирск: Наука, 2000. 192 с.   </w:t>
      </w:r>
    </w:p>
    <w:p w:rsidR="00776240" w:rsidRPr="00ED1AAE" w:rsidRDefault="00776240" w:rsidP="0077624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Кыыс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Дэбилийэ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. Якутский героический эпос/Сказитель Н.П. Бурнашев;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 С.К. Дьяконов; сост. П.Н. Дмитриев, В.В. Илларионов, Л.Д.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eastAsia="ru-RU"/>
        </w:rPr>
        <w:t>Нестерева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eastAsia="ru-RU"/>
        </w:rPr>
        <w:t xml:space="preserve">. Новосибирск: Наука, 1993 (Памятники фольклора народов Сибири и Дальнего Востока). </w:t>
      </w:r>
    </w:p>
    <w:p w:rsidR="00776240" w:rsidRPr="00ED1AAE" w:rsidRDefault="00776240" w:rsidP="0077624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AE">
        <w:rPr>
          <w:rFonts w:ascii="Times New Roman" w:hAnsi="Times New Roman" w:cs="Times New Roman"/>
          <w:sz w:val="24"/>
          <w:szCs w:val="24"/>
        </w:rPr>
        <w:t xml:space="preserve">Оросина Н. А. </w:t>
      </w:r>
      <w:proofErr w:type="spellStart"/>
      <w:r w:rsidRPr="00ED1AAE">
        <w:rPr>
          <w:rFonts w:ascii="Times New Roman" w:hAnsi="Times New Roman" w:cs="Times New Roman"/>
          <w:sz w:val="24"/>
          <w:szCs w:val="24"/>
        </w:rPr>
        <w:t>Таттинская</w:t>
      </w:r>
      <w:proofErr w:type="spellEnd"/>
      <w:r w:rsidRPr="00ED1AAE">
        <w:rPr>
          <w:rFonts w:ascii="Times New Roman" w:hAnsi="Times New Roman" w:cs="Times New Roman"/>
          <w:sz w:val="24"/>
          <w:szCs w:val="24"/>
        </w:rPr>
        <w:t xml:space="preserve"> локальная традиция якутского эпоса олонхо: формы бытования, основные образы и мотивы: </w:t>
      </w:r>
      <w:proofErr w:type="spellStart"/>
      <w:r w:rsidRPr="00ED1AAE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ED1A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1AAE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ED1AAE">
        <w:rPr>
          <w:rFonts w:ascii="Times New Roman" w:hAnsi="Times New Roman" w:cs="Times New Roman"/>
          <w:sz w:val="24"/>
          <w:szCs w:val="24"/>
        </w:rPr>
        <w:t xml:space="preserve">. … к. </w:t>
      </w:r>
      <w:proofErr w:type="spellStart"/>
      <w:r w:rsidRPr="00ED1AAE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Pr="00ED1AAE">
        <w:rPr>
          <w:rFonts w:ascii="Times New Roman" w:hAnsi="Times New Roman" w:cs="Times New Roman"/>
          <w:sz w:val="24"/>
          <w:szCs w:val="24"/>
        </w:rPr>
        <w:t>. н.  Якутск, 2015.  25 с. </w:t>
      </w:r>
    </w:p>
    <w:p w:rsidR="00776240" w:rsidRPr="00ED1AAE" w:rsidRDefault="00776240" w:rsidP="0077624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AAE">
        <w:rPr>
          <w:rFonts w:ascii="Times New Roman" w:hAnsi="Times New Roman" w:cs="Times New Roman"/>
          <w:sz w:val="24"/>
          <w:szCs w:val="24"/>
          <w:lang w:val="en-US"/>
        </w:rPr>
        <w:t>Emelyanov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val="en-US"/>
        </w:rPr>
        <w:t xml:space="preserve"> N.V. Soy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val="en-US"/>
        </w:rPr>
        <w:t>atalari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val="en-US"/>
        </w:rPr>
        <w:t>hakkinda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val="en-US"/>
        </w:rPr>
        <w:t>olongho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val="en-US"/>
        </w:rPr>
        <w:t>konulari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val="en-US"/>
        </w:rPr>
        <w:t>Çevirmen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val="en-US"/>
        </w:rPr>
        <w:t>Metin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val="en-US"/>
        </w:rPr>
        <w:t xml:space="preserve"> Ergun. Ankara: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val="en-US"/>
        </w:rPr>
        <w:t>Kömen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val="en-US"/>
        </w:rPr>
        <w:t>Yayinlari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val="en-US"/>
        </w:rPr>
        <w:t>, 2016. 203 s.</w:t>
      </w:r>
    </w:p>
    <w:p w:rsidR="00776240" w:rsidRPr="00ED1AAE" w:rsidRDefault="00776240" w:rsidP="00776240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AAE">
        <w:rPr>
          <w:rFonts w:ascii="Times New Roman" w:hAnsi="Times New Roman" w:cs="Times New Roman"/>
          <w:sz w:val="24"/>
          <w:szCs w:val="24"/>
          <w:lang w:val="en-US"/>
        </w:rPr>
        <w:t xml:space="preserve">Harris Robin P. Storytelling in Siberia. The </w:t>
      </w:r>
      <w:proofErr w:type="spellStart"/>
      <w:r w:rsidRPr="00ED1AAE">
        <w:rPr>
          <w:rFonts w:ascii="Times New Roman" w:hAnsi="Times New Roman" w:cs="Times New Roman"/>
          <w:sz w:val="24"/>
          <w:szCs w:val="24"/>
          <w:lang w:val="en-US"/>
        </w:rPr>
        <w:t>Olonkho</w:t>
      </w:r>
      <w:proofErr w:type="spellEnd"/>
      <w:r w:rsidRPr="00ED1AAE">
        <w:rPr>
          <w:rFonts w:ascii="Times New Roman" w:hAnsi="Times New Roman" w:cs="Times New Roman"/>
          <w:sz w:val="24"/>
          <w:szCs w:val="24"/>
          <w:lang w:val="en-US"/>
        </w:rPr>
        <w:t xml:space="preserve"> Epic in a Changing World / Robin P. Harris.  Chicago: University of Illinois Press, 2017.  234 p.</w:t>
      </w:r>
    </w:p>
    <w:p w:rsidR="00776240" w:rsidRDefault="00776240" w:rsidP="00776240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776240" w:rsidRDefault="00776240" w:rsidP="007762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262DE" w:rsidRDefault="004262DE"/>
    <w:sectPr w:rsidR="004262DE" w:rsidSect="00F30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039"/>
    <w:multiLevelType w:val="hybridMultilevel"/>
    <w:tmpl w:val="5440740C"/>
    <w:lvl w:ilvl="0" w:tplc="935CA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55CFB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20C41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DC0C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205B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B6A0D3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1209A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1DAC9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9C213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53BA4177"/>
    <w:multiLevelType w:val="hybridMultilevel"/>
    <w:tmpl w:val="A572A3E4"/>
    <w:lvl w:ilvl="0" w:tplc="D4E4A7C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12"/>
    <w:rsid w:val="000412EB"/>
    <w:rsid w:val="001C77C2"/>
    <w:rsid w:val="002B490E"/>
    <w:rsid w:val="004262DE"/>
    <w:rsid w:val="004A0524"/>
    <w:rsid w:val="0061797F"/>
    <w:rsid w:val="00776240"/>
    <w:rsid w:val="008913BC"/>
    <w:rsid w:val="008918C2"/>
    <w:rsid w:val="008D5012"/>
    <w:rsid w:val="00971369"/>
    <w:rsid w:val="00A153A2"/>
    <w:rsid w:val="00D03D67"/>
    <w:rsid w:val="00D94292"/>
    <w:rsid w:val="00ED1AAE"/>
    <w:rsid w:val="00F3084F"/>
    <w:rsid w:val="00F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Мухоплева</dc:creator>
  <cp:lastModifiedBy>Дмитрий</cp:lastModifiedBy>
  <cp:revision>2</cp:revision>
  <dcterms:created xsi:type="dcterms:W3CDTF">2021-03-09T02:17:00Z</dcterms:created>
  <dcterms:modified xsi:type="dcterms:W3CDTF">2021-03-09T02:17:00Z</dcterms:modified>
</cp:coreProperties>
</file>